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D8A1" w14:textId="3C79E60C" w:rsidR="0023004A" w:rsidRDefault="00232892" w:rsidP="00127F0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GUIDE TO ATTENDING</w:t>
      </w:r>
      <w:r w:rsidR="00127F0B">
        <w:rPr>
          <w:b/>
          <w:bCs/>
          <w:u w:val="single"/>
        </w:rPr>
        <w:t xml:space="preserve"> THE </w:t>
      </w:r>
      <w:r w:rsidR="00854729">
        <w:rPr>
          <w:b/>
          <w:bCs/>
          <w:u w:val="single"/>
        </w:rPr>
        <w:t>EMPLOYMENT TRIBUNAL</w:t>
      </w:r>
    </w:p>
    <w:p w14:paraId="067DDE88" w14:textId="0AF7DE04" w:rsidR="00D73232" w:rsidRDefault="005E457E" w:rsidP="00D73232">
      <w:r>
        <w:t xml:space="preserve">The below is a guide to attending the employment tribunal as an observer, which you </w:t>
      </w:r>
      <w:r w:rsidR="00F416A8">
        <w:t xml:space="preserve">will be </w:t>
      </w:r>
      <w:r w:rsidR="00A55E40">
        <w:t>asked</w:t>
      </w:r>
      <w:r w:rsidR="00F416A8">
        <w:t xml:space="preserve"> to do as </w:t>
      </w:r>
      <w:proofErr w:type="gramStart"/>
      <w:r w:rsidR="00F416A8">
        <w:t>a</w:t>
      </w:r>
      <w:proofErr w:type="gramEnd"/>
      <w:r w:rsidR="00F416A8">
        <w:t xml:space="preserve"> FRU volunte</w:t>
      </w:r>
      <w:r w:rsidR="008B4A16">
        <w:t xml:space="preserve">er. </w:t>
      </w:r>
      <w:r w:rsidR="008F046D">
        <w:t>Part A outlines to process for attending a</w:t>
      </w:r>
      <w:r w:rsidR="001E3216">
        <w:t xml:space="preserve"> remote</w:t>
      </w:r>
      <w:r w:rsidR="008F046D">
        <w:t xml:space="preserve"> hearing</w:t>
      </w:r>
      <w:r w:rsidR="001E3216">
        <w:t xml:space="preserve"> (via CVP)</w:t>
      </w:r>
      <w:r w:rsidR="008F046D">
        <w:t xml:space="preserve">, while Part B </w:t>
      </w:r>
      <w:r w:rsidR="00D36F47">
        <w:t>outlines the process for attending a hearing in person</w:t>
      </w:r>
      <w:r w:rsidR="008335AF">
        <w:t>.</w:t>
      </w:r>
    </w:p>
    <w:p w14:paraId="0429C134" w14:textId="172AF4CB" w:rsidR="00D73232" w:rsidRDefault="008335AF" w:rsidP="00D73232">
      <w:pPr>
        <w:rPr>
          <w:b/>
          <w:bCs/>
        </w:rPr>
      </w:pPr>
      <w:r>
        <w:rPr>
          <w:b/>
          <w:bCs/>
        </w:rPr>
        <w:t xml:space="preserve">PART A: </w:t>
      </w:r>
      <w:r w:rsidR="00EB6339">
        <w:rPr>
          <w:b/>
          <w:bCs/>
        </w:rPr>
        <w:t>REMOTE HEARING</w:t>
      </w:r>
      <w:r w:rsidR="00F87DAD">
        <w:rPr>
          <w:b/>
          <w:bCs/>
        </w:rPr>
        <w:t xml:space="preserve"> </w:t>
      </w:r>
      <w:r w:rsidR="00082EF0">
        <w:rPr>
          <w:b/>
          <w:bCs/>
        </w:rPr>
        <w:t xml:space="preserve">VIA CLOUD VIDEO PLATFORM </w:t>
      </w:r>
      <w:r w:rsidR="00082EF0" w:rsidRPr="00082EF0">
        <w:rPr>
          <w:b/>
          <w:bCs/>
        </w:rPr>
        <w:t>(CVP)</w:t>
      </w:r>
    </w:p>
    <w:p w14:paraId="5BC47BF5" w14:textId="4ADFFB78" w:rsidR="00370E03" w:rsidRDefault="00370E03" w:rsidP="00D73232">
      <w:pPr>
        <w:rPr>
          <w:b/>
          <w:bCs/>
        </w:rPr>
      </w:pPr>
      <w:r>
        <w:rPr>
          <w:b/>
          <w:bCs/>
        </w:rPr>
        <w:t>Step 1: register</w:t>
      </w:r>
      <w:r w:rsidR="007D0B22">
        <w:rPr>
          <w:b/>
          <w:bCs/>
        </w:rPr>
        <w:t xml:space="preserve"> to attend</w:t>
      </w:r>
    </w:p>
    <w:p w14:paraId="7519E254" w14:textId="145B54EE" w:rsidR="00BC6F89" w:rsidRDefault="00367531" w:rsidP="00267C14">
      <w:pPr>
        <w:pStyle w:val="ListParagraph"/>
        <w:numPr>
          <w:ilvl w:val="0"/>
          <w:numId w:val="3"/>
        </w:numPr>
      </w:pPr>
      <w:r>
        <w:t>You will need to create a</w:t>
      </w:r>
      <w:r w:rsidR="00194275">
        <w:t xml:space="preserve"> free </w:t>
      </w:r>
      <w:r>
        <w:t xml:space="preserve">account with </w:t>
      </w:r>
      <w:proofErr w:type="spellStart"/>
      <w:r>
        <w:t>CourtServe</w:t>
      </w:r>
      <w:proofErr w:type="spellEnd"/>
      <w:r>
        <w:t xml:space="preserve">. To do this, </w:t>
      </w:r>
      <w:r w:rsidR="007D0B22">
        <w:t xml:space="preserve">follow this link: </w:t>
      </w:r>
      <w:hyperlink r:id="rId7" w:history="1">
        <w:proofErr w:type="spellStart"/>
        <w:r w:rsidR="00623D85">
          <w:rPr>
            <w:rStyle w:val="Hyperlink"/>
          </w:rPr>
          <w:t>CourtServe</w:t>
        </w:r>
        <w:proofErr w:type="spellEnd"/>
      </w:hyperlink>
      <w:r w:rsidR="00194275">
        <w:t xml:space="preserve"> and c</w:t>
      </w:r>
      <w:r w:rsidR="006B6DDB">
        <w:t xml:space="preserve">lick </w:t>
      </w:r>
      <w:r w:rsidR="007F3919">
        <w:t>“</w:t>
      </w:r>
      <w:r w:rsidR="007F3919" w:rsidRPr="007F3919">
        <w:t>Not Registered?</w:t>
      </w:r>
      <w:r w:rsidR="007F3919">
        <w:t>”</w:t>
      </w:r>
      <w:r w:rsidR="00537C75">
        <w:t xml:space="preserve"> </w:t>
      </w:r>
      <w:r>
        <w:t xml:space="preserve">at the top </w:t>
      </w:r>
      <w:r w:rsidR="00A12EFC">
        <w:t xml:space="preserve">left-hand side </w:t>
      </w:r>
      <w:r w:rsidR="00EB7CEC">
        <w:t xml:space="preserve">of the page </w:t>
      </w:r>
      <w:r w:rsidR="007F3919" w:rsidRPr="007F3919">
        <w:t xml:space="preserve">under </w:t>
      </w:r>
      <w:r w:rsidR="00537C75">
        <w:t>“</w:t>
      </w:r>
      <w:r w:rsidR="007F3919" w:rsidRPr="007F3919">
        <w:t>Sign In</w:t>
      </w:r>
      <w:r w:rsidR="00537C75">
        <w:t>”</w:t>
      </w:r>
      <w:r w:rsidR="00194275">
        <w:t>. F</w:t>
      </w:r>
      <w:r w:rsidR="00EB7CEC">
        <w:t>ollow the instructions</w:t>
      </w:r>
      <w:r w:rsidR="00194275">
        <w:t xml:space="preserve"> to create an account.</w:t>
      </w:r>
      <w:r w:rsidR="00267C14">
        <w:t xml:space="preserve"> </w:t>
      </w:r>
      <w:r w:rsidR="00BC6F89">
        <w:t>You should receive a confirmation email</w:t>
      </w:r>
      <w:r w:rsidR="002F29FA">
        <w:t>.</w:t>
      </w:r>
    </w:p>
    <w:p w14:paraId="7ECAF41D" w14:textId="2B7FA1B0" w:rsidR="0059550E" w:rsidRDefault="00A12EFC" w:rsidP="00267C14">
      <w:pPr>
        <w:pStyle w:val="ListParagraph"/>
        <w:numPr>
          <w:ilvl w:val="0"/>
          <w:numId w:val="3"/>
        </w:numPr>
      </w:pPr>
      <w:r>
        <w:t>Once you h</w:t>
      </w:r>
      <w:r w:rsidR="0059550E">
        <w:t>ave</w:t>
      </w:r>
      <w:r w:rsidR="00C4366C">
        <w:t xml:space="preserve"> signed in</w:t>
      </w:r>
      <w:r w:rsidR="007C00CE">
        <w:t xml:space="preserve"> to </w:t>
      </w:r>
      <w:proofErr w:type="spellStart"/>
      <w:r w:rsidR="007C00CE">
        <w:t>CourtServe</w:t>
      </w:r>
      <w:proofErr w:type="spellEnd"/>
      <w:r w:rsidR="007C5B47">
        <w:t>,</w:t>
      </w:r>
      <w:r w:rsidR="00C4366C">
        <w:t xml:space="preserve"> </w:t>
      </w:r>
      <w:r w:rsidR="00633526">
        <w:t xml:space="preserve">navigate to </w:t>
      </w:r>
      <w:r w:rsidR="00F85A3D">
        <w:t>the Employment Tribunal Lists</w:t>
      </w:r>
      <w:r w:rsidR="00267C14">
        <w:t>. To do this, c</w:t>
      </w:r>
      <w:r w:rsidR="0059550E">
        <w:t xml:space="preserve">lick “Employment Tribunals” </w:t>
      </w:r>
      <w:r w:rsidR="0011396E">
        <w:t xml:space="preserve">on the </w:t>
      </w:r>
      <w:r w:rsidR="002F29FA">
        <w:t>left-hand</w:t>
      </w:r>
      <w:r w:rsidR="00B06BCF">
        <w:t xml:space="preserve"> side</w:t>
      </w:r>
      <w:r w:rsidR="0011396E">
        <w:t xml:space="preserve"> of the</w:t>
      </w:r>
      <w:r w:rsidR="007C00CE">
        <w:t xml:space="preserve"> home</w:t>
      </w:r>
      <w:r w:rsidR="0011396E">
        <w:t xml:space="preserve">page </w:t>
      </w:r>
      <w:r w:rsidR="00B06BCF">
        <w:t>under “</w:t>
      </w:r>
      <w:r w:rsidR="00267C14">
        <w:t>Web Services”.</w:t>
      </w:r>
    </w:p>
    <w:p w14:paraId="2C9A4621" w14:textId="5A6AA4F1" w:rsidR="006D19C8" w:rsidRDefault="002F29FA" w:rsidP="000E2A9A">
      <w:pPr>
        <w:pStyle w:val="ListParagraph"/>
        <w:numPr>
          <w:ilvl w:val="0"/>
          <w:numId w:val="3"/>
        </w:numPr>
      </w:pPr>
      <w:r>
        <w:t xml:space="preserve">Scroll down </w:t>
      </w:r>
      <w:r w:rsidR="00EA19BA">
        <w:t xml:space="preserve">to the </w:t>
      </w:r>
      <w:r w:rsidR="00A92258">
        <w:t>t</w:t>
      </w:r>
      <w:r w:rsidR="00EA19BA">
        <w:t xml:space="preserve">ribunal you would like to </w:t>
      </w:r>
      <w:r w:rsidR="006D19C8">
        <w:t xml:space="preserve">(virtually) </w:t>
      </w:r>
      <w:r w:rsidR="00EA19BA">
        <w:t xml:space="preserve">attend, for example, London Central. </w:t>
      </w:r>
      <w:r w:rsidR="00DE6504">
        <w:t>Under each</w:t>
      </w:r>
      <w:r w:rsidR="00A92258">
        <w:t xml:space="preserve"> t</w:t>
      </w:r>
      <w:r w:rsidR="00DE6504">
        <w:t>ribunal, you will a Press List for the current week and</w:t>
      </w:r>
      <w:r w:rsidR="000E2A9A">
        <w:t xml:space="preserve"> </w:t>
      </w:r>
      <w:r w:rsidR="00DE6504">
        <w:t>for the following week.</w:t>
      </w:r>
      <w:r w:rsidR="000E2A9A">
        <w:t xml:space="preserve"> </w:t>
      </w:r>
      <w:r w:rsidR="003F3D46">
        <w:t xml:space="preserve">Click on the Press List for the </w:t>
      </w:r>
      <w:r w:rsidR="00903330">
        <w:t>week you would like to attend.</w:t>
      </w:r>
      <w:r w:rsidR="00AC4FB7">
        <w:t xml:space="preserve"> T</w:t>
      </w:r>
      <w:r w:rsidR="003F3D46">
        <w:t xml:space="preserve">he </w:t>
      </w:r>
      <w:r w:rsidR="003F3D46" w:rsidRPr="003F3D46">
        <w:t xml:space="preserve">requested tribunal list </w:t>
      </w:r>
      <w:r w:rsidR="003F3D46">
        <w:t>will be</w:t>
      </w:r>
      <w:r w:rsidR="003F3D46" w:rsidRPr="003F3D46">
        <w:t xml:space="preserve"> downloaded by your browser in Rich Text Format (.rtf)</w:t>
      </w:r>
      <w:r w:rsidR="00AC4FB7">
        <w:t>.</w:t>
      </w:r>
    </w:p>
    <w:p w14:paraId="2FC2749F" w14:textId="1D57BB89" w:rsidR="00903330" w:rsidRDefault="00605571" w:rsidP="00267C14">
      <w:pPr>
        <w:pStyle w:val="ListParagraph"/>
        <w:numPr>
          <w:ilvl w:val="0"/>
          <w:numId w:val="3"/>
        </w:numPr>
      </w:pPr>
      <w:r>
        <w:t>Click on the downloa</w:t>
      </w:r>
      <w:r w:rsidR="00B92EA5">
        <w:t>d, which should open in Microsoft Word.</w:t>
      </w:r>
      <w:r w:rsidR="002B24AB">
        <w:t xml:space="preserve"> You can now scroll down </w:t>
      </w:r>
      <w:r w:rsidR="00160AAF">
        <w:t>to see which hearing you would like to attend. You will see that the list tells you the date and time of the hearing</w:t>
      </w:r>
      <w:r w:rsidR="001A0F08">
        <w:t>,</w:t>
      </w:r>
      <w:r w:rsidR="00C9457C">
        <w:t xml:space="preserve"> and</w:t>
      </w:r>
      <w:r w:rsidR="00160AAF">
        <w:t xml:space="preserve"> the names of the claimant and respondent</w:t>
      </w:r>
      <w:r w:rsidR="00DB17DA">
        <w:t xml:space="preserve">(s). The list also tells you </w:t>
      </w:r>
      <w:r w:rsidR="00EA496D">
        <w:t>the “Jurisdiction</w:t>
      </w:r>
      <w:r w:rsidR="000C6FE2">
        <w:t>(s)</w:t>
      </w:r>
      <w:r w:rsidR="00EA496D">
        <w:t>”</w:t>
      </w:r>
      <w:r w:rsidR="00CD44C1">
        <w:t xml:space="preserve">, i.e., </w:t>
      </w:r>
      <w:r w:rsidR="00EA496D">
        <w:t>the cause</w:t>
      </w:r>
      <w:r w:rsidR="000C6FE2">
        <w:t>(s)</w:t>
      </w:r>
      <w:r w:rsidR="00EA496D">
        <w:t xml:space="preserve"> of action. </w:t>
      </w:r>
      <w:r w:rsidR="00E914EC">
        <w:t>See</w:t>
      </w:r>
      <w:r w:rsidR="00D65BA2">
        <w:t xml:space="preserve"> this link for an explanation</w:t>
      </w:r>
      <w:r w:rsidR="00E914EC">
        <w:t xml:space="preserve"> of what the acronyms stand for</w:t>
      </w:r>
      <w:r w:rsidR="00D65BA2">
        <w:t xml:space="preserve">: </w:t>
      </w:r>
      <w:hyperlink r:id="rId8" w:tooltip="Jurisdiction Codes" w:history="1">
        <w:r w:rsidR="00D65BA2" w:rsidRPr="00313F57">
          <w:rPr>
            <w:rStyle w:val="Hyperlink"/>
            <w:rFonts w:ascii="Verdana" w:hAnsi="Verdana"/>
            <w:color w:val="3366FF"/>
            <w:sz w:val="18"/>
            <w:szCs w:val="18"/>
            <w:shd w:val="clear" w:color="auto" w:fill="FFFFFF"/>
          </w:rPr>
          <w:t>Jurisdiction Codes</w:t>
        </w:r>
      </w:hyperlink>
      <w:r w:rsidR="00D65BA2" w:rsidRPr="00313F57">
        <w:rPr>
          <w:rFonts w:ascii="Verdana" w:hAnsi="Verdana"/>
          <w:color w:val="494949"/>
          <w:sz w:val="18"/>
          <w:szCs w:val="18"/>
          <w:shd w:val="clear" w:color="auto" w:fill="FFFFFF"/>
        </w:rPr>
        <w:t>.</w:t>
      </w:r>
    </w:p>
    <w:p w14:paraId="135E4387" w14:textId="799AA649" w:rsidR="00497B76" w:rsidRDefault="00497B76" w:rsidP="00267C14">
      <w:pPr>
        <w:pStyle w:val="ListParagraph"/>
        <w:numPr>
          <w:ilvl w:val="0"/>
          <w:numId w:val="3"/>
        </w:numPr>
      </w:pPr>
      <w:r>
        <w:t xml:space="preserve">Once you have chosen the hearing you would like to attend, you need to </w:t>
      </w:r>
      <w:r w:rsidR="00A92258">
        <w:t>email the tribunal</w:t>
      </w:r>
      <w:r w:rsidR="000F715E">
        <w:t xml:space="preserve"> to request to observe the hearing. </w:t>
      </w:r>
      <w:r w:rsidR="00083379">
        <w:t>The email address</w:t>
      </w:r>
      <w:r w:rsidR="00920D89">
        <w:t xml:space="preserve"> for the relevant tribunal</w:t>
      </w:r>
      <w:r w:rsidR="00083379">
        <w:t xml:space="preserve"> is provided at the top of the</w:t>
      </w:r>
      <w:r w:rsidR="00EB7CF6">
        <w:t xml:space="preserve"> downloaded</w:t>
      </w:r>
      <w:r w:rsidR="00083379">
        <w:t xml:space="preserve"> list. </w:t>
      </w:r>
      <w:r w:rsidR="00884747" w:rsidRPr="00884747">
        <w:t xml:space="preserve">The naming convention in the subject heading of the email request should read </w:t>
      </w:r>
      <w:r w:rsidR="00ED09D7">
        <w:t>“</w:t>
      </w:r>
      <w:r w:rsidR="00884747" w:rsidRPr="00884747">
        <w:t xml:space="preserve">MEDIA OR PUBLIC ACCESS REQUEST </w:t>
      </w:r>
      <w:r w:rsidR="00884747">
        <w:t>–</w:t>
      </w:r>
      <w:r w:rsidR="00884747" w:rsidRPr="00884747">
        <w:t xml:space="preserve"> </w:t>
      </w:r>
      <w:r w:rsidR="00884747">
        <w:t>[Claimant]</w:t>
      </w:r>
      <w:r w:rsidR="00884747" w:rsidRPr="00884747">
        <w:t xml:space="preserve"> v </w:t>
      </w:r>
      <w:r w:rsidR="00884747">
        <w:t>[Respondent(s)]</w:t>
      </w:r>
      <w:r w:rsidR="00884747" w:rsidRPr="00884747">
        <w:t xml:space="preserve"> - Hearing Date.</w:t>
      </w:r>
      <w:r w:rsidR="00ED09D7">
        <w:t xml:space="preserve">” (Please fill in the information in square brackets). </w:t>
      </w:r>
    </w:p>
    <w:p w14:paraId="53178F81" w14:textId="29F13DF5" w:rsidR="00A03EF4" w:rsidRDefault="00A03EF4" w:rsidP="00267C14">
      <w:pPr>
        <w:pStyle w:val="ListParagraph"/>
        <w:numPr>
          <w:ilvl w:val="0"/>
          <w:numId w:val="3"/>
        </w:numPr>
      </w:pPr>
      <w:r>
        <w:t>You should receive an automated email</w:t>
      </w:r>
      <w:r w:rsidR="004017F4">
        <w:t xml:space="preserve"> telling you that </w:t>
      </w:r>
      <w:r w:rsidR="00C34DB5">
        <w:t>“</w:t>
      </w:r>
      <w:r w:rsidR="00C34DB5" w:rsidRPr="00C34DB5">
        <w:t>Emails containing a link to join will be sent the morning of when the hearing is due to start</w:t>
      </w:r>
      <w:r w:rsidR="00C34DB5">
        <w:t>”</w:t>
      </w:r>
      <w:r w:rsidR="00C34DB5" w:rsidRPr="00C34DB5">
        <w:t>.</w:t>
      </w:r>
    </w:p>
    <w:p w14:paraId="714B3BED" w14:textId="1FBC9471" w:rsidR="00F87DAD" w:rsidRPr="00370E03" w:rsidRDefault="00370E03" w:rsidP="00D73232">
      <w:pPr>
        <w:rPr>
          <w:b/>
          <w:bCs/>
        </w:rPr>
      </w:pPr>
      <w:r>
        <w:rPr>
          <w:b/>
          <w:bCs/>
        </w:rPr>
        <w:t xml:space="preserve">Step 2: </w:t>
      </w:r>
      <w:r w:rsidR="00E65871">
        <w:rPr>
          <w:b/>
          <w:bCs/>
        </w:rPr>
        <w:t>attending</w:t>
      </w:r>
    </w:p>
    <w:p w14:paraId="4A2BDF65" w14:textId="7EA0CC74" w:rsidR="004F7F11" w:rsidRDefault="004F7F11" w:rsidP="00B011BD">
      <w:pPr>
        <w:pStyle w:val="ListParagraph"/>
        <w:numPr>
          <w:ilvl w:val="0"/>
          <w:numId w:val="4"/>
        </w:numPr>
      </w:pPr>
      <w:r>
        <w:t>The tribunal will send you</w:t>
      </w:r>
      <w:r w:rsidR="00F37C5D">
        <w:t xml:space="preserve"> a</w:t>
      </w:r>
      <w:r w:rsidR="001917BB">
        <w:t>n email</w:t>
      </w:r>
      <w:r w:rsidRPr="004F7F11">
        <w:t xml:space="preserve"> which will enable you to join the hearing as a member of the press/public</w:t>
      </w:r>
      <w:r w:rsidRPr="00EB7CF6">
        <w:t xml:space="preserve">. If you have not received this </w:t>
      </w:r>
      <w:r w:rsidR="00F37C5D" w:rsidRPr="00EB7CF6">
        <w:t xml:space="preserve">email </w:t>
      </w:r>
      <w:r w:rsidRPr="00EB7CF6">
        <w:t xml:space="preserve">by 9:30am on the day the hearing is due to take place, email the tribunal </w:t>
      </w:r>
      <w:r w:rsidR="008444F6" w:rsidRPr="00EB7CF6">
        <w:t>and request this.</w:t>
      </w:r>
    </w:p>
    <w:p w14:paraId="0FA76657" w14:textId="7C72AC33" w:rsidR="002C5046" w:rsidRDefault="00724925" w:rsidP="003B00A6">
      <w:pPr>
        <w:pStyle w:val="ListParagraph"/>
        <w:numPr>
          <w:ilvl w:val="0"/>
          <w:numId w:val="4"/>
        </w:numPr>
      </w:pPr>
      <w:r>
        <w:t xml:space="preserve">In the </w:t>
      </w:r>
      <w:r w:rsidR="008444F6">
        <w:t>email</w:t>
      </w:r>
      <w:r w:rsidR="009E0E8F">
        <w:t xml:space="preserve"> from the tribunal</w:t>
      </w:r>
      <w:r w:rsidR="00F37C5D">
        <w:t xml:space="preserve">, you will see a link </w:t>
      </w:r>
      <w:r w:rsidR="00334620">
        <w:t>to join</w:t>
      </w:r>
      <w:r w:rsidR="00815281">
        <w:t>. We recommend using the “Web browser” link</w:t>
      </w:r>
      <w:r w:rsidR="00142840">
        <w:t xml:space="preserve">. </w:t>
      </w:r>
      <w:r w:rsidR="008E3BAF">
        <w:t xml:space="preserve">This will open a new tab in your browser. </w:t>
      </w:r>
      <w:r w:rsidR="002C1F32">
        <w:t>You will need to add your name</w:t>
      </w:r>
      <w:r w:rsidR="00CD2AAC">
        <w:t xml:space="preserve"> – w</w:t>
      </w:r>
      <w:r w:rsidR="002C1F32">
        <w:t xml:space="preserve">e </w:t>
      </w:r>
      <w:r w:rsidR="009E0E8F">
        <w:t>suggest</w:t>
      </w:r>
      <w:r w:rsidR="002C1F32">
        <w:t xml:space="preserve"> that you put </w:t>
      </w:r>
      <w:r w:rsidR="00C46788">
        <w:t>“(observ</w:t>
      </w:r>
      <w:r w:rsidR="00A35340">
        <w:t>er</w:t>
      </w:r>
      <w:r w:rsidR="00C46788">
        <w:t xml:space="preserve">)” after your name, so that the Judge can easily </w:t>
      </w:r>
      <w:r w:rsidR="00A35340">
        <w:t xml:space="preserve">identify </w:t>
      </w:r>
      <w:r w:rsidR="00CD2AAC">
        <w:t>why you are attending</w:t>
      </w:r>
      <w:r w:rsidR="00A35340">
        <w:t xml:space="preserve">. Enter the Guest PIN and you </w:t>
      </w:r>
      <w:r w:rsidR="00CD2AAC">
        <w:t>will be a</w:t>
      </w:r>
      <w:r w:rsidR="00C7196F">
        <w:t>dmitted to a ‘waiting room</w:t>
      </w:r>
      <w:r w:rsidR="003B00A6">
        <w:t xml:space="preserve">’. The hearing will most likely not start on time, so don’t be alarmed if you are left waiting in the room for a while. </w:t>
      </w:r>
    </w:p>
    <w:p w14:paraId="4147B206" w14:textId="42093A47" w:rsidR="002C5046" w:rsidRDefault="002C5046" w:rsidP="00E31F11">
      <w:pPr>
        <w:pStyle w:val="ListParagraph"/>
        <w:numPr>
          <w:ilvl w:val="0"/>
          <w:numId w:val="4"/>
        </w:numPr>
      </w:pPr>
      <w:r>
        <w:t>Once the hearing starts, keep your mic on mute unless the Judge asks you a question. They may ask why you are attending, in which case explain that you are from FRU and attending as an observer</w:t>
      </w:r>
      <w:r w:rsidR="00E31F11">
        <w:t>.</w:t>
      </w:r>
      <w:r>
        <w:t xml:space="preserve"> </w:t>
      </w:r>
    </w:p>
    <w:p w14:paraId="5316F89C" w14:textId="1BE7A856" w:rsidR="00400928" w:rsidRDefault="00CD2AAC" w:rsidP="009E3497">
      <w:pPr>
        <w:pStyle w:val="ListParagraph"/>
        <w:numPr>
          <w:ilvl w:val="0"/>
          <w:numId w:val="4"/>
        </w:numPr>
      </w:pPr>
      <w:r>
        <w:t xml:space="preserve"> </w:t>
      </w:r>
      <w:r w:rsidR="00E31F11">
        <w:t xml:space="preserve">Make a note of the hearing and complete the </w:t>
      </w:r>
      <w:r w:rsidR="00313F57">
        <w:t>attendance</w:t>
      </w:r>
      <w:r w:rsidR="00E31F11">
        <w:t xml:space="preserve"> </w:t>
      </w:r>
      <w:r w:rsidR="00A77312">
        <w:t>r</w:t>
      </w:r>
      <w:r w:rsidR="00E31F11">
        <w:t>eport</w:t>
      </w:r>
      <w:r w:rsidR="00A77312">
        <w:t xml:space="preserve"> (see below)</w:t>
      </w:r>
      <w:r w:rsidR="006A1295">
        <w:t>.</w:t>
      </w:r>
    </w:p>
    <w:p w14:paraId="2DB7627F" w14:textId="77777777" w:rsidR="00960B02" w:rsidRDefault="00960B02" w:rsidP="00960B02"/>
    <w:p w14:paraId="43609A50" w14:textId="77777777" w:rsidR="00960B02" w:rsidRDefault="00960B02" w:rsidP="00960B02"/>
    <w:p w14:paraId="26B2D269" w14:textId="31266B74" w:rsidR="00232892" w:rsidRDefault="00707983" w:rsidP="000E0D8D">
      <w:pPr>
        <w:rPr>
          <w:b/>
          <w:bCs/>
        </w:rPr>
      </w:pPr>
      <w:r>
        <w:rPr>
          <w:b/>
          <w:bCs/>
        </w:rPr>
        <w:lastRenderedPageBreak/>
        <w:t>PART B: IN PERSON</w:t>
      </w:r>
    </w:p>
    <w:p w14:paraId="38AEDCA9" w14:textId="7EE48059" w:rsidR="006A1295" w:rsidRPr="00262BA6" w:rsidRDefault="00C02CF4" w:rsidP="00CC15A3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The best way to attend </w:t>
      </w:r>
      <w:r w:rsidR="00A67BBE">
        <w:t>the</w:t>
      </w:r>
      <w:r>
        <w:t xml:space="preserve"> employment tribunal in </w:t>
      </w:r>
      <w:r w:rsidR="00A67BBE">
        <w:t>person is by turning u</w:t>
      </w:r>
      <w:r w:rsidR="002A7C82">
        <w:t xml:space="preserve">p. </w:t>
      </w:r>
      <w:r w:rsidR="001E3216">
        <w:t xml:space="preserve">Choose </w:t>
      </w:r>
      <w:r w:rsidR="00C1434F">
        <w:t xml:space="preserve">your nearest tribunal from the list below. </w:t>
      </w:r>
      <w:r w:rsidR="002A7C82">
        <w:t xml:space="preserve">Hearings start at 10am or </w:t>
      </w:r>
      <w:r w:rsidR="00622D69">
        <w:t>2pm</w:t>
      </w:r>
      <w:r w:rsidR="00984031">
        <w:t xml:space="preserve">, so we recommend arriving at either 9am or 1pm. </w:t>
      </w:r>
    </w:p>
    <w:p w14:paraId="534D624B" w14:textId="4DC97149" w:rsidR="00622D69" w:rsidRPr="00DE1075" w:rsidRDefault="00622D69" w:rsidP="00144B7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When you arrive, head to </w:t>
      </w:r>
      <w:r w:rsidR="00DE1075">
        <w:t>reception,</w:t>
      </w:r>
      <w:r>
        <w:t xml:space="preserve"> and ask to see a list of the hearings taking place that day</w:t>
      </w:r>
      <w:r w:rsidR="00DE1075">
        <w:t>. E</w:t>
      </w:r>
      <w:r>
        <w:t>xplain that you would like to attend as an observer.</w:t>
      </w:r>
    </w:p>
    <w:p w14:paraId="32124BF2" w14:textId="2CF36BE6" w:rsidR="00DE1075" w:rsidRPr="00973DFE" w:rsidRDefault="00DE1075" w:rsidP="00144B7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You will be told the </w:t>
      </w:r>
      <w:r w:rsidR="00AA47D6">
        <w:t xml:space="preserve">floor and </w:t>
      </w:r>
      <w:r>
        <w:t xml:space="preserve">room number and directed to go through security. </w:t>
      </w:r>
      <w:r w:rsidR="00AA47D6">
        <w:t xml:space="preserve">You can then head to the correct floor where you should wait outside the </w:t>
      </w:r>
      <w:r w:rsidR="00074AE4">
        <w:t xml:space="preserve">hearing </w:t>
      </w:r>
      <w:r w:rsidR="00AA47D6">
        <w:t xml:space="preserve">room until invited in by the </w:t>
      </w:r>
      <w:r w:rsidR="00973DFE">
        <w:t>clerk</w:t>
      </w:r>
      <w:r w:rsidR="00074AE4">
        <w:t xml:space="preserve"> or Judge</w:t>
      </w:r>
      <w:r w:rsidR="00973DFE">
        <w:t xml:space="preserve">. Do not enter the room until invited. </w:t>
      </w:r>
    </w:p>
    <w:p w14:paraId="576D17B6" w14:textId="58B8B101" w:rsidR="00973DFE" w:rsidRPr="009B7D69" w:rsidRDefault="00973DFE" w:rsidP="00144B7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When the clerk or Judge invites you to enter, sit at the back of the room</w:t>
      </w:r>
      <w:r w:rsidR="009B7D69">
        <w:t xml:space="preserve">. </w:t>
      </w:r>
    </w:p>
    <w:p w14:paraId="7409C12F" w14:textId="1D4E2140" w:rsidR="009B7D69" w:rsidRPr="009B7D69" w:rsidRDefault="009B7D69" w:rsidP="00144B7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Make a note of the hearing and complete</w:t>
      </w:r>
      <w:r w:rsidR="002D42D4">
        <w:t xml:space="preserve"> the</w:t>
      </w:r>
      <w:r>
        <w:t xml:space="preserve"> </w:t>
      </w:r>
      <w:r w:rsidR="00313F57">
        <w:t>attendance</w:t>
      </w:r>
      <w:r>
        <w:t xml:space="preserve"> report</w:t>
      </w:r>
      <w:r w:rsidR="00313F57">
        <w:t xml:space="preserve"> (see below)</w:t>
      </w:r>
      <w:r>
        <w:t xml:space="preserve">. </w:t>
      </w:r>
    </w:p>
    <w:p w14:paraId="1856EEAD" w14:textId="70A6A84E" w:rsidR="009B7D69" w:rsidRPr="009B7D69" w:rsidRDefault="009B7D69" w:rsidP="00144B7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Some general tips for attending the </w:t>
      </w:r>
      <w:r w:rsidR="00465BDD">
        <w:t>employment tribunal</w:t>
      </w:r>
      <w:r>
        <w:t xml:space="preserve"> in person: </w:t>
      </w:r>
    </w:p>
    <w:p w14:paraId="1F23C989" w14:textId="22F9825D" w:rsidR="0085317B" w:rsidRPr="0085317B" w:rsidRDefault="00670551" w:rsidP="001B78FD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 xml:space="preserve">Make sure you arrive with plenty of </w:t>
      </w:r>
      <w:r w:rsidR="00917C17">
        <w:t>time</w:t>
      </w:r>
      <w:r w:rsidR="00D81B94">
        <w:t xml:space="preserve">. </w:t>
      </w:r>
      <w:r w:rsidR="00F35FB0">
        <w:t>It can take a while to speak to reception, go through security</w:t>
      </w:r>
      <w:r w:rsidR="002D42D4">
        <w:t>,</w:t>
      </w:r>
      <w:r w:rsidR="00F35FB0">
        <w:t xml:space="preserve"> and find the </w:t>
      </w:r>
      <w:r w:rsidR="002D42D4">
        <w:t xml:space="preserve">correct </w:t>
      </w:r>
      <w:r w:rsidR="00F35FB0">
        <w:t xml:space="preserve">room. </w:t>
      </w:r>
    </w:p>
    <w:p w14:paraId="2AB15F9B" w14:textId="2E2C6ADE" w:rsidR="00670551" w:rsidRPr="001B78FD" w:rsidRDefault="0085317B" w:rsidP="001B78FD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 xml:space="preserve">When you go through security, </w:t>
      </w:r>
      <w:r w:rsidR="001B78FD">
        <w:t xml:space="preserve">you will be asked to empty everything from any bag you bring, so ideally travel light! </w:t>
      </w:r>
    </w:p>
    <w:p w14:paraId="5F3EBEB3" w14:textId="1F0DCEDE" w:rsidR="001B78FD" w:rsidRPr="008A794E" w:rsidRDefault="00D81B94" w:rsidP="001B78FD">
      <w:pPr>
        <w:pStyle w:val="ListParagraph"/>
        <w:numPr>
          <w:ilvl w:val="1"/>
          <w:numId w:val="5"/>
        </w:numPr>
        <w:rPr>
          <w:b/>
          <w:bCs/>
          <w:u w:val="single"/>
        </w:rPr>
      </w:pPr>
      <w:r>
        <w:t xml:space="preserve">You will have to go through security every time you re-enter the building, so it is advisable to bring snacks </w:t>
      </w:r>
      <w:r w:rsidR="0085317B">
        <w:t>in with you (</w:t>
      </w:r>
      <w:r w:rsidR="00E23323">
        <w:t>depending on which tribunal you attend, there may also be limited options for food in the surrounding area)</w:t>
      </w:r>
      <w:r>
        <w:t xml:space="preserve">. </w:t>
      </w:r>
    </w:p>
    <w:p w14:paraId="5B4B016B" w14:textId="541C4122" w:rsidR="008A794E" w:rsidRPr="005B7BAE" w:rsidRDefault="005B7BAE" w:rsidP="008A794E">
      <w:pPr>
        <w:rPr>
          <w:b/>
          <w:bCs/>
          <w:u w:val="single"/>
        </w:rPr>
      </w:pPr>
      <w:r>
        <w:rPr>
          <w:b/>
          <w:bCs/>
          <w:u w:val="single"/>
        </w:rPr>
        <w:t>Employment tribunal locations</w:t>
      </w:r>
    </w:p>
    <w:p w14:paraId="718A1564" w14:textId="1905B064" w:rsidR="00083F18" w:rsidRDefault="00083F18" w:rsidP="00400928">
      <w:r w:rsidRPr="00693F65">
        <w:rPr>
          <w:b/>
          <w:bCs/>
        </w:rPr>
        <w:t>London Central</w:t>
      </w:r>
      <w:r w:rsidRPr="00083F18">
        <w:t>: Ground Floor, Victory House, 30-34 Kingsway, London, WC2B 6EX</w:t>
      </w:r>
    </w:p>
    <w:p w14:paraId="7FB63585" w14:textId="34CEEFF2" w:rsidR="00083F18" w:rsidRDefault="00DB5122" w:rsidP="00400928">
      <w:r w:rsidRPr="00693F65">
        <w:rPr>
          <w:b/>
          <w:bCs/>
        </w:rPr>
        <w:t>London East</w:t>
      </w:r>
      <w:r>
        <w:t xml:space="preserve">: </w:t>
      </w:r>
      <w:r w:rsidRPr="00DB5122">
        <w:t>2nd Floor, Import Building, 2 Clove Crescent, London, E14 2BE</w:t>
      </w:r>
    </w:p>
    <w:p w14:paraId="47949440" w14:textId="42C37892" w:rsidR="00693F65" w:rsidRDefault="00693F65" w:rsidP="00400928">
      <w:r w:rsidRPr="00693F65">
        <w:rPr>
          <w:b/>
          <w:bCs/>
        </w:rPr>
        <w:t>London South</w:t>
      </w:r>
      <w:r>
        <w:t xml:space="preserve">: </w:t>
      </w:r>
      <w:r w:rsidRPr="00693F65">
        <w:t>Montague Court, 101 London Road, West Croydon, London, CR0 2RF</w:t>
      </w:r>
    </w:p>
    <w:p w14:paraId="012C8B68" w14:textId="1FE004EA" w:rsidR="005B7BAE" w:rsidRDefault="00C53888" w:rsidP="00400928">
      <w:r>
        <w:rPr>
          <w:b/>
          <w:bCs/>
        </w:rPr>
        <w:t>Watford</w:t>
      </w:r>
      <w:r>
        <w:t xml:space="preserve">: </w:t>
      </w:r>
      <w:r w:rsidR="00C76215" w:rsidRPr="00C76215">
        <w:t>Watford Tribunal Hearing Centre, Radius House, 51 Clarendon Road, Watford, WD17 1HP</w:t>
      </w:r>
    </w:p>
    <w:p w14:paraId="1032BCEE" w14:textId="77777777" w:rsidR="00BF0068" w:rsidRDefault="00BF0068" w:rsidP="00400928"/>
    <w:p w14:paraId="1CD5AF78" w14:textId="4CB95E9E" w:rsidR="00BF0068" w:rsidRDefault="00BF006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1453B" w:rsidRPr="00313F57" w14:paraId="33CFAF8E" w14:textId="77777777" w:rsidTr="004A4124">
        <w:trPr>
          <w:trHeight w:val="596"/>
        </w:trPr>
        <w:tc>
          <w:tcPr>
            <w:tcW w:w="9016" w:type="dxa"/>
            <w:gridSpan w:val="2"/>
          </w:tcPr>
          <w:p w14:paraId="7AEB66B2" w14:textId="77777777" w:rsidR="00B1453B" w:rsidRPr="00313F57" w:rsidRDefault="00B1453B" w:rsidP="004A4124">
            <w:pPr>
              <w:jc w:val="center"/>
            </w:pPr>
            <w:r w:rsidRPr="00313F57">
              <w:rPr>
                <w:b/>
                <w:bCs/>
                <w:u w:val="single"/>
              </w:rPr>
              <w:lastRenderedPageBreak/>
              <w:t>ATTENDANCE REPORT</w:t>
            </w:r>
          </w:p>
        </w:tc>
      </w:tr>
      <w:tr w:rsidR="00B1453B" w:rsidRPr="00313F57" w14:paraId="1E300352" w14:textId="77777777" w:rsidTr="004A4124">
        <w:tc>
          <w:tcPr>
            <w:tcW w:w="2405" w:type="dxa"/>
          </w:tcPr>
          <w:p w14:paraId="418E9BD9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FRU rep:</w:t>
            </w:r>
          </w:p>
        </w:tc>
        <w:tc>
          <w:tcPr>
            <w:tcW w:w="6611" w:type="dxa"/>
          </w:tcPr>
          <w:p w14:paraId="16FDB5B1" w14:textId="77777777" w:rsidR="00B1453B" w:rsidRPr="00313F57" w:rsidRDefault="00B1453B" w:rsidP="004A4124">
            <w:r w:rsidRPr="00313F57">
              <w:rPr>
                <w:color w:val="FF0000"/>
              </w:rPr>
              <w:t>[name]</w:t>
            </w:r>
          </w:p>
        </w:tc>
      </w:tr>
      <w:tr w:rsidR="00B1453B" w:rsidRPr="00313F57" w14:paraId="6709509A" w14:textId="77777777" w:rsidTr="004A4124">
        <w:tc>
          <w:tcPr>
            <w:tcW w:w="2405" w:type="dxa"/>
          </w:tcPr>
          <w:p w14:paraId="32FC2739" w14:textId="77777777" w:rsidR="00B1453B" w:rsidRPr="00313F57" w:rsidRDefault="00B1453B" w:rsidP="004A4124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0E7985A9" w14:textId="77777777" w:rsidR="00B1453B" w:rsidRPr="00313F57" w:rsidRDefault="00B1453B" w:rsidP="004A4124"/>
        </w:tc>
      </w:tr>
      <w:tr w:rsidR="00B1453B" w:rsidRPr="00313F57" w14:paraId="46E4C74A" w14:textId="77777777" w:rsidTr="004A4124">
        <w:tc>
          <w:tcPr>
            <w:tcW w:w="2405" w:type="dxa"/>
          </w:tcPr>
          <w:p w14:paraId="6B66043A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Case:</w:t>
            </w:r>
          </w:p>
        </w:tc>
        <w:tc>
          <w:tcPr>
            <w:tcW w:w="6611" w:type="dxa"/>
          </w:tcPr>
          <w:p w14:paraId="43BD0E92" w14:textId="77777777" w:rsidR="00B1453B" w:rsidRPr="00313F57" w:rsidRDefault="00B1453B" w:rsidP="004A4124"/>
        </w:tc>
      </w:tr>
      <w:tr w:rsidR="00B1453B" w:rsidRPr="00313F57" w14:paraId="0B1FFE0B" w14:textId="77777777" w:rsidTr="004A4124">
        <w:tc>
          <w:tcPr>
            <w:tcW w:w="2405" w:type="dxa"/>
          </w:tcPr>
          <w:p w14:paraId="51BE29F7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Claimant:</w:t>
            </w:r>
          </w:p>
        </w:tc>
        <w:tc>
          <w:tcPr>
            <w:tcW w:w="6611" w:type="dxa"/>
          </w:tcPr>
          <w:p w14:paraId="075CB888" w14:textId="77777777" w:rsidR="00B1453B" w:rsidRPr="00313F57" w:rsidRDefault="00B1453B" w:rsidP="004A4124"/>
        </w:tc>
      </w:tr>
      <w:tr w:rsidR="00B1453B" w:rsidRPr="00313F57" w14:paraId="48672A73" w14:textId="77777777" w:rsidTr="004A4124">
        <w:tc>
          <w:tcPr>
            <w:tcW w:w="2405" w:type="dxa"/>
          </w:tcPr>
          <w:p w14:paraId="6561AE28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Respondent:</w:t>
            </w:r>
          </w:p>
        </w:tc>
        <w:tc>
          <w:tcPr>
            <w:tcW w:w="6611" w:type="dxa"/>
          </w:tcPr>
          <w:p w14:paraId="6F631D47" w14:textId="77777777" w:rsidR="00B1453B" w:rsidRPr="00313F57" w:rsidRDefault="00B1453B" w:rsidP="004A4124"/>
        </w:tc>
      </w:tr>
      <w:tr w:rsidR="00B1453B" w:rsidRPr="00313F57" w14:paraId="63A91793" w14:textId="77777777" w:rsidTr="004A4124">
        <w:tc>
          <w:tcPr>
            <w:tcW w:w="2405" w:type="dxa"/>
          </w:tcPr>
          <w:p w14:paraId="38D448C8" w14:textId="77777777" w:rsidR="00B1453B" w:rsidRPr="00313F57" w:rsidRDefault="00B1453B" w:rsidP="004A4124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42F8F3AD" w14:textId="77777777" w:rsidR="00B1453B" w:rsidRPr="00313F57" w:rsidRDefault="00B1453B" w:rsidP="004A4124"/>
        </w:tc>
      </w:tr>
      <w:tr w:rsidR="00B1453B" w:rsidRPr="00313F57" w14:paraId="16955ACE" w14:textId="77777777" w:rsidTr="004A4124">
        <w:tc>
          <w:tcPr>
            <w:tcW w:w="2405" w:type="dxa"/>
          </w:tcPr>
          <w:p w14:paraId="68FA5989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C rep:</w:t>
            </w:r>
          </w:p>
        </w:tc>
        <w:tc>
          <w:tcPr>
            <w:tcW w:w="6611" w:type="dxa"/>
          </w:tcPr>
          <w:p w14:paraId="6749D5A0" w14:textId="77777777" w:rsidR="00B1453B" w:rsidRPr="00313F57" w:rsidRDefault="00B1453B" w:rsidP="004A4124"/>
        </w:tc>
      </w:tr>
      <w:tr w:rsidR="00B1453B" w:rsidRPr="00313F57" w14:paraId="159772F9" w14:textId="77777777" w:rsidTr="004A4124">
        <w:tc>
          <w:tcPr>
            <w:tcW w:w="2405" w:type="dxa"/>
          </w:tcPr>
          <w:p w14:paraId="7AC95817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R rep:</w:t>
            </w:r>
          </w:p>
        </w:tc>
        <w:tc>
          <w:tcPr>
            <w:tcW w:w="6611" w:type="dxa"/>
          </w:tcPr>
          <w:p w14:paraId="19456098" w14:textId="77777777" w:rsidR="00B1453B" w:rsidRPr="00313F57" w:rsidRDefault="00B1453B" w:rsidP="004A4124"/>
        </w:tc>
      </w:tr>
      <w:tr w:rsidR="00B1453B" w:rsidRPr="00313F57" w14:paraId="464892D9" w14:textId="77777777" w:rsidTr="004A4124">
        <w:tc>
          <w:tcPr>
            <w:tcW w:w="2405" w:type="dxa"/>
          </w:tcPr>
          <w:p w14:paraId="6E22866F" w14:textId="77777777" w:rsidR="00B1453B" w:rsidRPr="00313F57" w:rsidRDefault="00B1453B" w:rsidP="004A4124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3D8C3135" w14:textId="77777777" w:rsidR="00B1453B" w:rsidRPr="00313F57" w:rsidRDefault="00B1453B" w:rsidP="004A4124"/>
        </w:tc>
      </w:tr>
      <w:tr w:rsidR="00B1453B" w:rsidRPr="00313F57" w14:paraId="015505E1" w14:textId="77777777" w:rsidTr="004A4124">
        <w:tc>
          <w:tcPr>
            <w:tcW w:w="2405" w:type="dxa"/>
          </w:tcPr>
          <w:p w14:paraId="69366B71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Date(s) of hearing:</w:t>
            </w:r>
          </w:p>
        </w:tc>
        <w:tc>
          <w:tcPr>
            <w:tcW w:w="6611" w:type="dxa"/>
          </w:tcPr>
          <w:p w14:paraId="67C4BB5E" w14:textId="77777777" w:rsidR="00B1453B" w:rsidRPr="00313F57" w:rsidRDefault="00B1453B" w:rsidP="004A4124"/>
        </w:tc>
      </w:tr>
      <w:tr w:rsidR="00B1453B" w:rsidRPr="00313F57" w14:paraId="0148E33F" w14:textId="77777777" w:rsidTr="004A4124">
        <w:tc>
          <w:tcPr>
            <w:tcW w:w="2405" w:type="dxa"/>
          </w:tcPr>
          <w:p w14:paraId="35CF3E76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Venue:</w:t>
            </w:r>
          </w:p>
        </w:tc>
        <w:tc>
          <w:tcPr>
            <w:tcW w:w="6611" w:type="dxa"/>
          </w:tcPr>
          <w:p w14:paraId="6A9C17C5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[e.g., London Central] [specify whether in person or remote]</w:t>
            </w:r>
          </w:p>
        </w:tc>
      </w:tr>
      <w:tr w:rsidR="00B1453B" w:rsidRPr="00313F57" w14:paraId="3768E99B" w14:textId="77777777" w:rsidTr="004A4124">
        <w:tc>
          <w:tcPr>
            <w:tcW w:w="2405" w:type="dxa"/>
          </w:tcPr>
          <w:p w14:paraId="644292F8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Hearing:</w:t>
            </w:r>
          </w:p>
        </w:tc>
        <w:tc>
          <w:tcPr>
            <w:tcW w:w="6611" w:type="dxa"/>
          </w:tcPr>
          <w:p w14:paraId="690D1EF1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[e.g., preliminary hearing / final hearing]</w:t>
            </w:r>
          </w:p>
        </w:tc>
      </w:tr>
      <w:tr w:rsidR="00B1453B" w:rsidRPr="00313F57" w14:paraId="1B32BF9B" w14:textId="77777777" w:rsidTr="004A4124">
        <w:tc>
          <w:tcPr>
            <w:tcW w:w="2405" w:type="dxa"/>
          </w:tcPr>
          <w:p w14:paraId="4ED6A1EB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Before:</w:t>
            </w:r>
          </w:p>
        </w:tc>
        <w:tc>
          <w:tcPr>
            <w:tcW w:w="6611" w:type="dxa"/>
          </w:tcPr>
          <w:p w14:paraId="1B0EA092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[name of Judge]</w:t>
            </w:r>
          </w:p>
        </w:tc>
      </w:tr>
      <w:tr w:rsidR="00B1453B" w:rsidRPr="00313F57" w14:paraId="5C1C4030" w14:textId="77777777" w:rsidTr="004A4124">
        <w:tc>
          <w:tcPr>
            <w:tcW w:w="2405" w:type="dxa"/>
          </w:tcPr>
          <w:p w14:paraId="04ED6A7D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Claims:</w:t>
            </w:r>
          </w:p>
        </w:tc>
        <w:tc>
          <w:tcPr>
            <w:tcW w:w="6611" w:type="dxa"/>
          </w:tcPr>
          <w:p w14:paraId="231AF456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[e.g., unlawful deduction of wages]</w:t>
            </w:r>
          </w:p>
        </w:tc>
      </w:tr>
      <w:tr w:rsidR="00B1453B" w:rsidRPr="00313F57" w14:paraId="435DE81B" w14:textId="77777777" w:rsidTr="004A4124">
        <w:tc>
          <w:tcPr>
            <w:tcW w:w="2405" w:type="dxa"/>
          </w:tcPr>
          <w:p w14:paraId="42D74D13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Key points / background</w:t>
            </w:r>
          </w:p>
        </w:tc>
        <w:tc>
          <w:tcPr>
            <w:tcW w:w="6611" w:type="dxa"/>
          </w:tcPr>
          <w:p w14:paraId="58B4B15C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[approx. 200 words]</w:t>
            </w:r>
          </w:p>
          <w:p w14:paraId="2704FFFF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05DDB0DB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24D68585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0428C902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54CD0F7D" w14:textId="77777777" w:rsidR="00B1453B" w:rsidRDefault="00B1453B" w:rsidP="004A4124">
            <w:pPr>
              <w:rPr>
                <w:color w:val="FF0000"/>
              </w:rPr>
            </w:pPr>
          </w:p>
          <w:p w14:paraId="73B51632" w14:textId="77777777" w:rsidR="00313F57" w:rsidRPr="00313F57" w:rsidRDefault="00313F57" w:rsidP="004A4124">
            <w:pPr>
              <w:rPr>
                <w:color w:val="FF0000"/>
              </w:rPr>
            </w:pPr>
          </w:p>
          <w:p w14:paraId="59D815E3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51CC7962" w14:textId="77777777" w:rsidR="00B1453B" w:rsidRDefault="00B1453B" w:rsidP="004A4124">
            <w:pPr>
              <w:rPr>
                <w:color w:val="FF0000"/>
              </w:rPr>
            </w:pPr>
          </w:p>
          <w:p w14:paraId="45697172" w14:textId="77777777" w:rsidR="00313F57" w:rsidRPr="00313F57" w:rsidRDefault="00313F57" w:rsidP="004A4124">
            <w:pPr>
              <w:rPr>
                <w:color w:val="FF0000"/>
              </w:rPr>
            </w:pPr>
          </w:p>
          <w:p w14:paraId="2C598F3A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02D869C2" w14:textId="77777777" w:rsidR="00B1453B" w:rsidRPr="00313F57" w:rsidRDefault="00B1453B" w:rsidP="004A4124">
            <w:pPr>
              <w:rPr>
                <w:color w:val="FF0000"/>
              </w:rPr>
            </w:pPr>
          </w:p>
        </w:tc>
      </w:tr>
      <w:tr w:rsidR="00B1453B" w:rsidRPr="00313F57" w14:paraId="38A7A393" w14:textId="77777777" w:rsidTr="004A4124">
        <w:tc>
          <w:tcPr>
            <w:tcW w:w="2405" w:type="dxa"/>
          </w:tcPr>
          <w:p w14:paraId="049E293C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Brief notes of hearing – including:</w:t>
            </w:r>
          </w:p>
          <w:p w14:paraId="42A0899C" w14:textId="77777777" w:rsidR="00B1453B" w:rsidRPr="00313F57" w:rsidRDefault="00B1453B" w:rsidP="004A4124">
            <w:pPr>
              <w:rPr>
                <w:b/>
                <w:bCs/>
              </w:rPr>
            </w:pPr>
          </w:p>
          <w:p w14:paraId="23CC02F6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C’s witness evidence</w:t>
            </w:r>
          </w:p>
          <w:p w14:paraId="649A5050" w14:textId="77777777" w:rsidR="00B1453B" w:rsidRPr="00313F57" w:rsidRDefault="00B1453B" w:rsidP="004A4124">
            <w:pPr>
              <w:rPr>
                <w:b/>
                <w:bCs/>
              </w:rPr>
            </w:pPr>
          </w:p>
          <w:p w14:paraId="0F07E8B4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R’s witness evidence</w:t>
            </w:r>
          </w:p>
          <w:p w14:paraId="3D76FA7D" w14:textId="77777777" w:rsidR="00B1453B" w:rsidRPr="00313F57" w:rsidRDefault="00B1453B" w:rsidP="004A4124">
            <w:pPr>
              <w:rPr>
                <w:b/>
                <w:bCs/>
              </w:rPr>
            </w:pPr>
          </w:p>
          <w:p w14:paraId="187450A0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 xml:space="preserve">Oral submissions </w:t>
            </w:r>
          </w:p>
        </w:tc>
        <w:tc>
          <w:tcPr>
            <w:tcW w:w="6611" w:type="dxa"/>
          </w:tcPr>
          <w:p w14:paraId="4145BAFA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[approx. 500 words]</w:t>
            </w:r>
          </w:p>
          <w:p w14:paraId="2B22F325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76D6A29D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23294883" w14:textId="77777777" w:rsidR="00B1453B" w:rsidRDefault="00B1453B" w:rsidP="004A4124">
            <w:pPr>
              <w:rPr>
                <w:color w:val="FF0000"/>
              </w:rPr>
            </w:pPr>
          </w:p>
          <w:p w14:paraId="3217D80F" w14:textId="77777777" w:rsidR="00313F57" w:rsidRPr="00313F57" w:rsidRDefault="00313F57" w:rsidP="004A4124">
            <w:pPr>
              <w:rPr>
                <w:color w:val="FF0000"/>
              </w:rPr>
            </w:pPr>
          </w:p>
          <w:p w14:paraId="363256CD" w14:textId="77777777" w:rsidR="00B1453B" w:rsidRDefault="00B1453B" w:rsidP="004A4124">
            <w:pPr>
              <w:rPr>
                <w:color w:val="FF0000"/>
              </w:rPr>
            </w:pPr>
          </w:p>
          <w:p w14:paraId="6DE9D3B5" w14:textId="77777777" w:rsidR="00313F57" w:rsidRPr="00313F57" w:rsidRDefault="00313F57" w:rsidP="004A4124">
            <w:pPr>
              <w:rPr>
                <w:color w:val="FF0000"/>
              </w:rPr>
            </w:pPr>
          </w:p>
          <w:p w14:paraId="5315194D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01CF9D97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14DD4EB9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715303EF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147EEDAE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18CAD705" w14:textId="77777777" w:rsidR="00B1453B" w:rsidRPr="00313F57" w:rsidRDefault="00B1453B" w:rsidP="004A4124">
            <w:pPr>
              <w:rPr>
                <w:color w:val="FF0000"/>
              </w:rPr>
            </w:pPr>
          </w:p>
        </w:tc>
      </w:tr>
      <w:tr w:rsidR="00B1453B" w:rsidRPr="00313F57" w14:paraId="13019835" w14:textId="77777777" w:rsidTr="004A4124">
        <w:tc>
          <w:tcPr>
            <w:tcW w:w="2405" w:type="dxa"/>
          </w:tcPr>
          <w:p w14:paraId="123B0031" w14:textId="77777777" w:rsidR="00B1453B" w:rsidRPr="00313F57" w:rsidRDefault="00B1453B" w:rsidP="004A4124">
            <w:pPr>
              <w:rPr>
                <w:b/>
                <w:bCs/>
              </w:rPr>
            </w:pPr>
            <w:r w:rsidRPr="00313F57">
              <w:rPr>
                <w:b/>
                <w:bCs/>
              </w:rPr>
              <w:t>Outcome</w:t>
            </w:r>
          </w:p>
        </w:tc>
        <w:tc>
          <w:tcPr>
            <w:tcW w:w="6611" w:type="dxa"/>
          </w:tcPr>
          <w:p w14:paraId="7C831DB5" w14:textId="77777777" w:rsidR="00B1453B" w:rsidRPr="00313F57" w:rsidRDefault="00B1453B" w:rsidP="004A4124">
            <w:pPr>
              <w:rPr>
                <w:color w:val="FF0000"/>
              </w:rPr>
            </w:pPr>
            <w:r w:rsidRPr="00313F57">
              <w:rPr>
                <w:color w:val="FF0000"/>
              </w:rPr>
              <w:t>[e.g., Judgment]</w:t>
            </w:r>
          </w:p>
          <w:p w14:paraId="4D1794A6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1CAE93BA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7065FDDD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13C90970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227BD4CC" w14:textId="77777777" w:rsidR="00B1453B" w:rsidRPr="00313F57" w:rsidRDefault="00B1453B" w:rsidP="004A4124">
            <w:pPr>
              <w:rPr>
                <w:color w:val="FF0000"/>
              </w:rPr>
            </w:pPr>
          </w:p>
          <w:p w14:paraId="039F580D" w14:textId="77777777" w:rsidR="00B1453B" w:rsidRPr="00313F57" w:rsidRDefault="00B1453B" w:rsidP="004A4124">
            <w:pPr>
              <w:rPr>
                <w:color w:val="FF0000"/>
              </w:rPr>
            </w:pPr>
          </w:p>
        </w:tc>
      </w:tr>
    </w:tbl>
    <w:p w14:paraId="7E6FACEF" w14:textId="77777777" w:rsidR="00BF0068" w:rsidRPr="00C53888" w:rsidRDefault="00BF0068" w:rsidP="00400928"/>
    <w:sectPr w:rsidR="00BF0068" w:rsidRPr="00C5388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BD55" w14:textId="77777777" w:rsidR="000413B5" w:rsidRDefault="000413B5" w:rsidP="000413B5">
      <w:pPr>
        <w:spacing w:after="0" w:line="240" w:lineRule="auto"/>
      </w:pPr>
      <w:r>
        <w:separator/>
      </w:r>
    </w:p>
  </w:endnote>
  <w:endnote w:type="continuationSeparator" w:id="0">
    <w:p w14:paraId="2C7566B6" w14:textId="77777777" w:rsidR="000413B5" w:rsidRDefault="000413B5" w:rsidP="0004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96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308FE" w14:textId="536211CE" w:rsidR="000413B5" w:rsidRDefault="000413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FEDA6C" w14:textId="77777777" w:rsidR="000413B5" w:rsidRDefault="00041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4151" w14:textId="77777777" w:rsidR="000413B5" w:rsidRDefault="000413B5" w:rsidP="000413B5">
      <w:pPr>
        <w:spacing w:after="0" w:line="240" w:lineRule="auto"/>
      </w:pPr>
      <w:r>
        <w:separator/>
      </w:r>
    </w:p>
  </w:footnote>
  <w:footnote w:type="continuationSeparator" w:id="0">
    <w:p w14:paraId="2E137F98" w14:textId="77777777" w:rsidR="000413B5" w:rsidRDefault="000413B5" w:rsidP="0004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8B12" w14:textId="42091D16" w:rsidR="00045D28" w:rsidRDefault="00045D28" w:rsidP="00045D28">
    <w:pPr>
      <w:pStyle w:val="Header"/>
      <w:jc w:val="right"/>
    </w:pPr>
    <w:r>
      <w:rPr>
        <w:noProof/>
      </w:rPr>
      <w:drawing>
        <wp:inline distT="0" distB="0" distL="0" distR="0" wp14:anchorId="72ADB220" wp14:editId="53D93542">
          <wp:extent cx="1133794" cy="768403"/>
          <wp:effectExtent l="0" t="0" r="9525" b="0"/>
          <wp:docPr id="1" name="Picture 1" descr="FRU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008" cy="79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04C"/>
    <w:multiLevelType w:val="hybridMultilevel"/>
    <w:tmpl w:val="BD6A3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550DA"/>
    <w:multiLevelType w:val="hybridMultilevel"/>
    <w:tmpl w:val="B7547F60"/>
    <w:lvl w:ilvl="0" w:tplc="AAD4FE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11DFA"/>
    <w:multiLevelType w:val="hybridMultilevel"/>
    <w:tmpl w:val="4FBEBE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1441B"/>
    <w:multiLevelType w:val="hybridMultilevel"/>
    <w:tmpl w:val="B9CC5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12CD5"/>
    <w:multiLevelType w:val="hybridMultilevel"/>
    <w:tmpl w:val="2FE237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888698">
    <w:abstractNumId w:val="3"/>
  </w:num>
  <w:num w:numId="2" w16cid:durableId="2017800874">
    <w:abstractNumId w:val="4"/>
  </w:num>
  <w:num w:numId="3" w16cid:durableId="878668180">
    <w:abstractNumId w:val="0"/>
  </w:num>
  <w:num w:numId="4" w16cid:durableId="1862668670">
    <w:abstractNumId w:val="2"/>
  </w:num>
  <w:num w:numId="5" w16cid:durableId="90487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4"/>
    <w:rsid w:val="00001EA8"/>
    <w:rsid w:val="000413B5"/>
    <w:rsid w:val="00045D28"/>
    <w:rsid w:val="00074AE4"/>
    <w:rsid w:val="00082D84"/>
    <w:rsid w:val="00082EF0"/>
    <w:rsid w:val="00083379"/>
    <w:rsid w:val="00083F18"/>
    <w:rsid w:val="000C6FE2"/>
    <w:rsid w:val="000E0D8D"/>
    <w:rsid w:val="000E2A9A"/>
    <w:rsid w:val="000F715E"/>
    <w:rsid w:val="0011396E"/>
    <w:rsid w:val="00127F0B"/>
    <w:rsid w:val="00142840"/>
    <w:rsid w:val="00160AAF"/>
    <w:rsid w:val="001818C6"/>
    <w:rsid w:val="001917BB"/>
    <w:rsid w:val="00194275"/>
    <w:rsid w:val="001A0F08"/>
    <w:rsid w:val="001B78FD"/>
    <w:rsid w:val="001E3216"/>
    <w:rsid w:val="001F4B41"/>
    <w:rsid w:val="0023004A"/>
    <w:rsid w:val="00232892"/>
    <w:rsid w:val="00262BA6"/>
    <w:rsid w:val="00267C14"/>
    <w:rsid w:val="00272A47"/>
    <w:rsid w:val="002A7C82"/>
    <w:rsid w:val="002B24AB"/>
    <w:rsid w:val="002C1F32"/>
    <w:rsid w:val="002C5046"/>
    <w:rsid w:val="002D42D4"/>
    <w:rsid w:val="002F29FA"/>
    <w:rsid w:val="00313F57"/>
    <w:rsid w:val="00334620"/>
    <w:rsid w:val="00367531"/>
    <w:rsid w:val="00370E03"/>
    <w:rsid w:val="003811D7"/>
    <w:rsid w:val="003A3751"/>
    <w:rsid w:val="003B00A6"/>
    <w:rsid w:val="003B2807"/>
    <w:rsid w:val="003C3C11"/>
    <w:rsid w:val="003F3D46"/>
    <w:rsid w:val="00400928"/>
    <w:rsid w:val="004017F4"/>
    <w:rsid w:val="0042232C"/>
    <w:rsid w:val="00465BDD"/>
    <w:rsid w:val="004950CF"/>
    <w:rsid w:val="00497B76"/>
    <w:rsid w:val="004F7F11"/>
    <w:rsid w:val="00537C75"/>
    <w:rsid w:val="005438A1"/>
    <w:rsid w:val="00551E57"/>
    <w:rsid w:val="0059550E"/>
    <w:rsid w:val="005B7BAE"/>
    <w:rsid w:val="005C695B"/>
    <w:rsid w:val="005E457E"/>
    <w:rsid w:val="00605571"/>
    <w:rsid w:val="006220A8"/>
    <w:rsid w:val="00622D69"/>
    <w:rsid w:val="00623D85"/>
    <w:rsid w:val="00633526"/>
    <w:rsid w:val="00670551"/>
    <w:rsid w:val="00693F65"/>
    <w:rsid w:val="00696875"/>
    <w:rsid w:val="006A1295"/>
    <w:rsid w:val="006B6DDB"/>
    <w:rsid w:val="006D19C8"/>
    <w:rsid w:val="006D20A8"/>
    <w:rsid w:val="00707983"/>
    <w:rsid w:val="00721BB1"/>
    <w:rsid w:val="00724925"/>
    <w:rsid w:val="007A4B8E"/>
    <w:rsid w:val="007C00CE"/>
    <w:rsid w:val="007C5B47"/>
    <w:rsid w:val="007D0B22"/>
    <w:rsid w:val="007E12D9"/>
    <w:rsid w:val="007F3919"/>
    <w:rsid w:val="00815281"/>
    <w:rsid w:val="008335AF"/>
    <w:rsid w:val="0083455A"/>
    <w:rsid w:val="008444F6"/>
    <w:rsid w:val="0085317B"/>
    <w:rsid w:val="00854729"/>
    <w:rsid w:val="00884747"/>
    <w:rsid w:val="008A794E"/>
    <w:rsid w:val="008B4A16"/>
    <w:rsid w:val="008C6F86"/>
    <w:rsid w:val="008E3BAF"/>
    <w:rsid w:val="008F046D"/>
    <w:rsid w:val="00903330"/>
    <w:rsid w:val="00917C17"/>
    <w:rsid w:val="00920D89"/>
    <w:rsid w:val="00940902"/>
    <w:rsid w:val="00960B02"/>
    <w:rsid w:val="00973DFE"/>
    <w:rsid w:val="00984031"/>
    <w:rsid w:val="009B6872"/>
    <w:rsid w:val="009B7D69"/>
    <w:rsid w:val="009E0E8F"/>
    <w:rsid w:val="00A03EF4"/>
    <w:rsid w:val="00A1132A"/>
    <w:rsid w:val="00A12EFC"/>
    <w:rsid w:val="00A35340"/>
    <w:rsid w:val="00A55E40"/>
    <w:rsid w:val="00A64B21"/>
    <w:rsid w:val="00A67BBE"/>
    <w:rsid w:val="00A77312"/>
    <w:rsid w:val="00A917E3"/>
    <w:rsid w:val="00A92258"/>
    <w:rsid w:val="00AA47D6"/>
    <w:rsid w:val="00AA7534"/>
    <w:rsid w:val="00AC4FB7"/>
    <w:rsid w:val="00B011BD"/>
    <w:rsid w:val="00B06BCF"/>
    <w:rsid w:val="00B1453B"/>
    <w:rsid w:val="00B54A24"/>
    <w:rsid w:val="00B8657A"/>
    <w:rsid w:val="00B92EA5"/>
    <w:rsid w:val="00BC6F89"/>
    <w:rsid w:val="00BD2D50"/>
    <w:rsid w:val="00BE5BAC"/>
    <w:rsid w:val="00BF0068"/>
    <w:rsid w:val="00C01CAE"/>
    <w:rsid w:val="00C02CF4"/>
    <w:rsid w:val="00C1434F"/>
    <w:rsid w:val="00C34DB5"/>
    <w:rsid w:val="00C4366C"/>
    <w:rsid w:val="00C46788"/>
    <w:rsid w:val="00C53888"/>
    <w:rsid w:val="00C7196F"/>
    <w:rsid w:val="00C71CC2"/>
    <w:rsid w:val="00C76215"/>
    <w:rsid w:val="00C9457C"/>
    <w:rsid w:val="00CD2AAC"/>
    <w:rsid w:val="00CD44C1"/>
    <w:rsid w:val="00CF29F9"/>
    <w:rsid w:val="00D36F47"/>
    <w:rsid w:val="00D65BA2"/>
    <w:rsid w:val="00D73232"/>
    <w:rsid w:val="00D81B94"/>
    <w:rsid w:val="00DB17DA"/>
    <w:rsid w:val="00DB5122"/>
    <w:rsid w:val="00DE1075"/>
    <w:rsid w:val="00DE6504"/>
    <w:rsid w:val="00E1044E"/>
    <w:rsid w:val="00E23323"/>
    <w:rsid w:val="00E31F11"/>
    <w:rsid w:val="00E44775"/>
    <w:rsid w:val="00E56F7B"/>
    <w:rsid w:val="00E65871"/>
    <w:rsid w:val="00E914EC"/>
    <w:rsid w:val="00EA19BA"/>
    <w:rsid w:val="00EA496D"/>
    <w:rsid w:val="00EB6339"/>
    <w:rsid w:val="00EB7CEC"/>
    <w:rsid w:val="00EB7CF6"/>
    <w:rsid w:val="00ED09D7"/>
    <w:rsid w:val="00F35FB0"/>
    <w:rsid w:val="00F37C5D"/>
    <w:rsid w:val="00F416A8"/>
    <w:rsid w:val="00F72BDA"/>
    <w:rsid w:val="00F85A3D"/>
    <w:rsid w:val="00F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E4374"/>
  <w15:chartTrackingRefBased/>
  <w15:docId w15:val="{A87D2AF8-8DCD-4BDE-A711-14AE767D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B5"/>
  </w:style>
  <w:style w:type="paragraph" w:styleId="Footer">
    <w:name w:val="footer"/>
    <w:basedOn w:val="Normal"/>
    <w:link w:val="FooterChar"/>
    <w:uiPriority w:val="99"/>
    <w:unhideWhenUsed/>
    <w:rsid w:val="00041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B5"/>
  </w:style>
  <w:style w:type="paragraph" w:styleId="ListParagraph">
    <w:name w:val="List Paragraph"/>
    <w:basedOn w:val="Normal"/>
    <w:uiPriority w:val="34"/>
    <w:qFormat/>
    <w:rsid w:val="00551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3232"/>
    <w:rPr>
      <w:color w:val="0000FF"/>
      <w:u w:val="single"/>
    </w:rPr>
  </w:style>
  <w:style w:type="table" w:styleId="TableGrid">
    <w:name w:val="Table Grid"/>
    <w:basedOn w:val="TableNormal"/>
    <w:uiPriority w:val="39"/>
    <w:rsid w:val="00B1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erve.net/services/tribunal-express/employment-tribunal-jurisdiction-cod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tserve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4571</Characters>
  <Application>Microsoft Office Word</Application>
  <DocSecurity>4</DocSecurity>
  <Lines>77</Lines>
  <Paragraphs>41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Eloise Lloyd</dc:creator>
  <cp:keywords/>
  <dc:description/>
  <cp:lastModifiedBy>Sharon Sneddon</cp:lastModifiedBy>
  <cp:revision>2</cp:revision>
  <dcterms:created xsi:type="dcterms:W3CDTF">2023-06-06T12:41:00Z</dcterms:created>
  <dcterms:modified xsi:type="dcterms:W3CDTF">2023-06-06T12:41:00Z</dcterms:modified>
</cp:coreProperties>
</file>